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厦门海洋职业技术学院关于</w:t>
      </w:r>
      <w:r>
        <w:rPr>
          <w:rFonts w:ascii="仿宋" w:hAnsi="仿宋" w:eastAsia="仿宋"/>
          <w:b/>
          <w:sz w:val="44"/>
          <w:szCs w:val="44"/>
        </w:rPr>
        <w:t>202</w:t>
      </w:r>
      <w:r>
        <w:rPr>
          <w:rFonts w:hint="eastAsia" w:ascii="仿宋" w:hAnsi="仿宋" w:eastAsia="仿宋"/>
          <w:b/>
          <w:sz w:val="44"/>
          <w:szCs w:val="44"/>
          <w:lang w:val="en-US" w:eastAsia="zh-CN"/>
        </w:rPr>
        <w:t>3</w:t>
      </w:r>
      <w:r>
        <w:rPr>
          <w:rFonts w:ascii="仿宋" w:hAnsi="仿宋" w:eastAsia="仿宋"/>
          <w:b/>
          <w:sz w:val="44"/>
          <w:szCs w:val="44"/>
        </w:rPr>
        <w:t>-202</w:t>
      </w:r>
      <w:r>
        <w:rPr>
          <w:rFonts w:hint="eastAsia" w:ascii="仿宋" w:hAnsi="仿宋" w:eastAsia="仿宋"/>
          <w:b/>
          <w:sz w:val="44"/>
          <w:szCs w:val="44"/>
          <w:lang w:val="en-US" w:eastAsia="zh-CN"/>
        </w:rPr>
        <w:t>4</w:t>
      </w:r>
      <w:r>
        <w:rPr>
          <w:rFonts w:ascii="仿宋" w:hAnsi="仿宋" w:eastAsia="仿宋"/>
          <w:b/>
          <w:sz w:val="44"/>
          <w:szCs w:val="44"/>
        </w:rPr>
        <w:t>学年嘉庚奖学金</w:t>
      </w:r>
      <w:r>
        <w:rPr>
          <w:rFonts w:hint="eastAsia" w:ascii="仿宋" w:hAnsi="仿宋" w:eastAsia="仿宋"/>
          <w:b/>
          <w:sz w:val="44"/>
          <w:szCs w:val="44"/>
        </w:rPr>
        <w:t>（特等奖学金）</w:t>
      </w:r>
      <w:r>
        <w:rPr>
          <w:rFonts w:ascii="仿宋" w:hAnsi="仿宋" w:eastAsia="仿宋"/>
          <w:b/>
          <w:sz w:val="44"/>
          <w:szCs w:val="44"/>
        </w:rPr>
        <w:t>评选</w:t>
      </w:r>
      <w:r>
        <w:rPr>
          <w:rFonts w:hint="eastAsia" w:ascii="仿宋" w:hAnsi="仿宋" w:eastAsia="仿宋"/>
          <w:b/>
          <w:sz w:val="44"/>
          <w:szCs w:val="44"/>
        </w:rPr>
        <w:t>细则</w:t>
      </w:r>
    </w:p>
    <w:p>
      <w:pPr>
        <w:jc w:val="left"/>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为突出我校嘉庚奖学金（特等奖学金）在育人方面的导向作用，细化评选规则的可操作性，激励我校学子在更多更广的领域争先创优，经学校学生工作领导小组审议通过，特在学校《优秀学生奖学金评定办法》的基础上进一步细化该方案，现公布如下：</w:t>
      </w:r>
    </w:p>
    <w:p>
      <w:pPr>
        <w:rPr>
          <w:rFonts w:ascii="黑体" w:hAnsi="黑体" w:eastAsia="黑体"/>
          <w:sz w:val="32"/>
          <w:szCs w:val="32"/>
        </w:rPr>
      </w:pPr>
      <w:r>
        <w:rPr>
          <w:rFonts w:hint="eastAsia" w:ascii="黑体" w:hAnsi="黑体" w:eastAsia="黑体"/>
          <w:sz w:val="32"/>
          <w:szCs w:val="32"/>
        </w:rPr>
        <w:t>一、《优秀学生奖学金评定办法》嘉庚奖学金部分节选</w:t>
      </w:r>
    </w:p>
    <w:p>
      <w:pPr>
        <w:ind w:firstLine="640" w:firstLineChars="200"/>
        <w:rPr>
          <w:rFonts w:ascii="仿宋" w:hAnsi="仿宋" w:eastAsia="仿宋"/>
          <w:sz w:val="32"/>
          <w:szCs w:val="32"/>
        </w:rPr>
      </w:pPr>
      <w:r>
        <w:rPr>
          <w:rFonts w:hint="eastAsia" w:ascii="仿宋" w:hAnsi="仿宋" w:eastAsia="仿宋"/>
          <w:sz w:val="32"/>
          <w:szCs w:val="32"/>
        </w:rPr>
        <w:t>嘉庚奖学金（特</w:t>
      </w:r>
      <w:r>
        <w:rPr>
          <w:rFonts w:hint="eastAsia" w:ascii="仿宋" w:hAnsi="仿宋" w:eastAsia="仿宋"/>
          <w:sz w:val="32"/>
          <w:szCs w:val="32"/>
          <w:lang w:val="en-US" w:eastAsia="zh-CN"/>
        </w:rPr>
        <w:t>等</w:t>
      </w:r>
      <w:r>
        <w:rPr>
          <w:rFonts w:hint="eastAsia" w:ascii="仿宋" w:hAnsi="仿宋" w:eastAsia="仿宋"/>
          <w:sz w:val="32"/>
          <w:szCs w:val="32"/>
        </w:rPr>
        <w:t>奖学金）：5</w:t>
      </w:r>
      <w:r>
        <w:rPr>
          <w:rFonts w:ascii="仿宋" w:hAnsi="仿宋" w:eastAsia="仿宋"/>
          <w:sz w:val="32"/>
          <w:szCs w:val="32"/>
        </w:rPr>
        <w:t>000</w:t>
      </w:r>
      <w:r>
        <w:rPr>
          <w:rFonts w:hint="eastAsia" w:ascii="仿宋" w:hAnsi="仿宋" w:eastAsia="仿宋"/>
          <w:sz w:val="32"/>
          <w:szCs w:val="32"/>
        </w:rPr>
        <w:t>元/学年，综合测评在班级</w:t>
      </w:r>
      <w:r>
        <w:rPr>
          <w:rFonts w:hint="eastAsia" w:ascii="仿宋" w:hAnsi="仿宋" w:eastAsia="仿宋"/>
          <w:sz w:val="32"/>
          <w:szCs w:val="32"/>
          <w:lang w:val="en-US" w:eastAsia="zh-CN"/>
        </w:rPr>
        <w:t>25</w:t>
      </w:r>
      <w:r>
        <w:rPr>
          <w:rFonts w:hint="eastAsia" w:ascii="仿宋" w:hAnsi="仿宋" w:eastAsia="仿宋"/>
          <w:sz w:val="32"/>
          <w:szCs w:val="32"/>
        </w:rPr>
        <w:t>%以内，且符合嘉庚奖学金申请条件之一，全校每年评选上限为2</w:t>
      </w:r>
      <w:r>
        <w:rPr>
          <w:rFonts w:ascii="仿宋" w:hAnsi="仿宋" w:eastAsia="仿宋"/>
          <w:sz w:val="32"/>
          <w:szCs w:val="32"/>
        </w:rPr>
        <w:t>0</w:t>
      </w:r>
      <w:r>
        <w:rPr>
          <w:rFonts w:hint="eastAsia" w:ascii="仿宋" w:hAnsi="仿宋" w:eastAsia="仿宋"/>
          <w:sz w:val="32"/>
          <w:szCs w:val="32"/>
        </w:rPr>
        <w:t>名。</w:t>
      </w:r>
    </w:p>
    <w:p>
      <w:pPr>
        <w:ind w:firstLine="645"/>
        <w:rPr>
          <w:rFonts w:ascii="仿宋" w:hAnsi="仿宋" w:eastAsia="仿宋"/>
          <w:sz w:val="32"/>
          <w:szCs w:val="32"/>
        </w:rPr>
      </w:pPr>
      <w:r>
        <w:rPr>
          <w:rFonts w:hint="eastAsia" w:ascii="仿宋" w:hAnsi="仿宋" w:eastAsia="仿宋"/>
          <w:sz w:val="32"/>
          <w:szCs w:val="32"/>
        </w:rPr>
        <w:t>嘉庚奖学金条件：需符合一等、二等、三等奖学金基本条件外，还需要基本下列条件之一方可申报：</w:t>
      </w:r>
    </w:p>
    <w:p>
      <w:pPr>
        <w:ind w:firstLine="640" w:firstLineChars="200"/>
        <w:rPr>
          <w:rFonts w:ascii="仿宋" w:hAnsi="仿宋" w:eastAsia="仿宋"/>
          <w:sz w:val="32"/>
          <w:szCs w:val="32"/>
        </w:rPr>
      </w:pPr>
      <w:r>
        <w:rPr>
          <w:rFonts w:ascii="仿宋" w:hAnsi="仿宋" w:eastAsia="仿宋"/>
          <w:sz w:val="32"/>
          <w:szCs w:val="32"/>
        </w:rPr>
        <w:t>1.获得教育部组织或教育部委托全国性行业协会（学 会）组织的竞赛类二等奖或以上成绩；</w:t>
      </w:r>
      <w:r>
        <w:rPr>
          <w:rFonts w:hint="eastAsia" w:ascii="仿宋" w:hAnsi="仿宋" w:eastAsia="仿宋"/>
          <w:sz w:val="32"/>
          <w:szCs w:val="32"/>
        </w:rPr>
        <w:t xml:space="preserve"> </w:t>
      </w:r>
    </w:p>
    <w:p>
      <w:pPr>
        <w:ind w:firstLine="640" w:firstLineChars="200"/>
        <w:rPr>
          <w:rFonts w:ascii="仿宋" w:hAnsi="仿宋" w:eastAsia="仿宋"/>
          <w:sz w:val="32"/>
          <w:szCs w:val="32"/>
        </w:rPr>
      </w:pPr>
      <w:r>
        <w:rPr>
          <w:rFonts w:ascii="仿宋" w:hAnsi="仿宋" w:eastAsia="仿宋"/>
          <w:sz w:val="32"/>
          <w:szCs w:val="32"/>
        </w:rPr>
        <w:t>2.获得省级政府主办或省级教育主管部门举办的竞赛 类一等奖或以上成绩；</w:t>
      </w:r>
    </w:p>
    <w:p>
      <w:pPr>
        <w:ind w:firstLine="640" w:firstLineChars="200"/>
        <w:rPr>
          <w:rFonts w:ascii="仿宋" w:hAnsi="仿宋" w:eastAsia="仿宋"/>
          <w:sz w:val="32"/>
          <w:szCs w:val="32"/>
        </w:rPr>
      </w:pPr>
      <w:r>
        <w:rPr>
          <w:rFonts w:ascii="仿宋" w:hAnsi="仿宋" w:eastAsia="仿宋"/>
          <w:sz w:val="32"/>
          <w:szCs w:val="32"/>
        </w:rPr>
        <w:t>3.积极参加科研活动，以第一作者身份发表CN级论文、 国家级专利或相似科研成果；</w:t>
      </w:r>
    </w:p>
    <w:p>
      <w:pPr>
        <w:ind w:firstLine="640" w:firstLineChars="200"/>
        <w:rPr>
          <w:rFonts w:ascii="仿宋" w:hAnsi="仿宋" w:eastAsia="仿宋"/>
          <w:sz w:val="32"/>
          <w:szCs w:val="32"/>
        </w:rPr>
      </w:pPr>
      <w:r>
        <w:rPr>
          <w:rFonts w:ascii="仿宋" w:hAnsi="仿宋" w:eastAsia="仿宋"/>
          <w:sz w:val="32"/>
          <w:szCs w:val="32"/>
        </w:rPr>
        <w:t xml:space="preserve">4.在创新创业方面有突出表现； </w:t>
      </w:r>
    </w:p>
    <w:p>
      <w:pPr>
        <w:ind w:firstLine="640" w:firstLineChars="200"/>
        <w:rPr>
          <w:rFonts w:ascii="仿宋" w:hAnsi="仿宋" w:eastAsia="仿宋"/>
          <w:sz w:val="32"/>
          <w:szCs w:val="32"/>
        </w:rPr>
      </w:pPr>
      <w:r>
        <w:rPr>
          <w:rFonts w:ascii="仿宋" w:hAnsi="仿宋" w:eastAsia="仿宋"/>
          <w:sz w:val="32"/>
          <w:szCs w:val="32"/>
        </w:rPr>
        <w:t xml:space="preserve">5.在助人为乐、见义勇为、舍己救人、敬老爱幼等方 面有突出表现，获得相关省、市、县级以上荣誉表彰者。 </w:t>
      </w:r>
    </w:p>
    <w:p>
      <w:pPr>
        <w:ind w:firstLine="640" w:firstLineChars="200"/>
        <w:rPr>
          <w:rFonts w:ascii="仿宋" w:hAnsi="仿宋" w:eastAsia="仿宋"/>
          <w:sz w:val="32"/>
          <w:szCs w:val="32"/>
        </w:rPr>
      </w:pPr>
      <w:r>
        <w:rPr>
          <w:rFonts w:ascii="仿宋" w:hAnsi="仿宋" w:eastAsia="仿宋"/>
          <w:sz w:val="32"/>
          <w:szCs w:val="32"/>
        </w:rPr>
        <w:t>6.其他在个人综合素质发展或学校争先创优等工作中 表现突出。</w:t>
      </w:r>
    </w:p>
    <w:p>
      <w:pPr>
        <w:rPr>
          <w:rFonts w:ascii="黑体" w:hAnsi="黑体" w:eastAsia="黑体"/>
          <w:sz w:val="32"/>
          <w:szCs w:val="32"/>
        </w:rPr>
      </w:pPr>
      <w:r>
        <w:rPr>
          <w:rFonts w:hint="eastAsia" w:ascii="黑体" w:hAnsi="黑体" w:eastAsia="黑体"/>
          <w:sz w:val="32"/>
          <w:szCs w:val="32"/>
        </w:rPr>
        <w:t>二、评选细则方案</w:t>
      </w:r>
    </w:p>
    <w:p>
      <w:pPr>
        <w:ind w:firstLine="645"/>
        <w:rPr>
          <w:rFonts w:ascii="仿宋" w:hAnsi="仿宋" w:eastAsia="仿宋"/>
          <w:sz w:val="32"/>
          <w:szCs w:val="32"/>
        </w:rPr>
      </w:pPr>
      <w:r>
        <w:rPr>
          <w:rFonts w:hint="eastAsia" w:ascii="仿宋" w:hAnsi="仿宋" w:eastAsia="仿宋"/>
          <w:sz w:val="32"/>
          <w:szCs w:val="32"/>
        </w:rPr>
        <w:t>根据评选条件性质，嘉庚奖学金分类为以下四大类进行分别评选，参评学生可以</w:t>
      </w:r>
      <w:r>
        <w:rPr>
          <w:rFonts w:hint="eastAsia" w:ascii="仿宋" w:hAnsi="仿宋" w:eastAsia="仿宋"/>
          <w:color w:val="FF0000"/>
          <w:sz w:val="32"/>
          <w:szCs w:val="32"/>
        </w:rPr>
        <w:t>最多可参评一项</w:t>
      </w:r>
      <w:r>
        <w:rPr>
          <w:rFonts w:hint="eastAsia" w:ascii="仿宋" w:hAnsi="仿宋" w:eastAsia="仿宋"/>
          <w:sz w:val="32"/>
          <w:szCs w:val="32"/>
        </w:rPr>
        <w:t>。</w:t>
      </w:r>
    </w:p>
    <w:p>
      <w:pPr>
        <w:ind w:firstLine="645"/>
        <w:rPr>
          <w:rFonts w:ascii="楷体" w:hAnsi="楷体" w:eastAsia="楷体"/>
          <w:b/>
          <w:sz w:val="32"/>
          <w:szCs w:val="32"/>
        </w:rPr>
      </w:pPr>
      <w:r>
        <w:rPr>
          <w:rFonts w:hint="eastAsia" w:ascii="楷体" w:hAnsi="楷体" w:eastAsia="楷体"/>
          <w:b/>
          <w:sz w:val="32"/>
          <w:szCs w:val="32"/>
        </w:rPr>
        <w:t>第一大类：竞赛奖励0~6名</w:t>
      </w:r>
    </w:p>
    <w:p>
      <w:pPr>
        <w:ind w:firstLine="640" w:firstLineChars="200"/>
        <w:rPr>
          <w:rFonts w:ascii="仿宋" w:hAnsi="仿宋" w:eastAsia="仿宋"/>
          <w:sz w:val="32"/>
          <w:szCs w:val="32"/>
        </w:rPr>
      </w:pPr>
      <w:r>
        <w:rPr>
          <w:rFonts w:ascii="仿宋" w:hAnsi="仿宋" w:eastAsia="仿宋"/>
          <w:sz w:val="32"/>
          <w:szCs w:val="32"/>
        </w:rPr>
        <w:t>获得教育部组织或教育部委托全国性行业协会（学会）组织的竞赛类二等奖或以上成绩；获得省级政府主办或省级教育主管部门举办的竞赛类一等奖或以上成绩</w:t>
      </w:r>
      <w:r>
        <w:rPr>
          <w:rFonts w:hint="eastAsia" w:ascii="仿宋" w:hAnsi="仿宋" w:eastAsia="仿宋"/>
          <w:sz w:val="32"/>
          <w:szCs w:val="32"/>
        </w:rPr>
        <w:t>。</w:t>
      </w:r>
    </w:p>
    <w:p>
      <w:pPr>
        <w:ind w:firstLine="645"/>
        <w:rPr>
          <w:rFonts w:hint="eastAsia" w:ascii="楷体" w:hAnsi="楷体" w:eastAsia="楷体"/>
          <w:b/>
          <w:sz w:val="32"/>
          <w:szCs w:val="32"/>
        </w:rPr>
      </w:pPr>
      <w:r>
        <w:rPr>
          <w:rFonts w:hint="eastAsia" w:ascii="楷体" w:hAnsi="楷体" w:eastAsia="楷体"/>
          <w:b/>
          <w:sz w:val="32"/>
          <w:szCs w:val="32"/>
        </w:rPr>
        <w:t>第二大类：科研奖励0~2名</w:t>
      </w:r>
    </w:p>
    <w:p>
      <w:pPr>
        <w:ind w:firstLine="645"/>
        <w:rPr>
          <w:rFonts w:hint="eastAsia" w:ascii="仿宋" w:hAnsi="仿宋" w:eastAsia="仿宋"/>
          <w:sz w:val="32"/>
          <w:szCs w:val="32"/>
        </w:rPr>
      </w:pPr>
      <w:r>
        <w:rPr>
          <w:rFonts w:hint="eastAsia" w:ascii="仿宋" w:hAnsi="仿宋" w:eastAsia="仿宋"/>
          <w:sz w:val="32"/>
          <w:szCs w:val="32"/>
        </w:rPr>
        <w:t>科研成果：积极参加科研活动，以第一作者身份发表CN级论文、国家级专利或相似科研成果。</w:t>
      </w:r>
    </w:p>
    <w:p>
      <w:pPr>
        <w:ind w:firstLine="645"/>
        <w:rPr>
          <w:rFonts w:hint="eastAsia" w:ascii="仿宋" w:hAnsi="仿宋" w:eastAsia="仿宋"/>
          <w:sz w:val="32"/>
          <w:szCs w:val="32"/>
        </w:rPr>
      </w:pPr>
      <w:r>
        <w:rPr>
          <w:rFonts w:hint="eastAsia" w:ascii="仿宋" w:hAnsi="仿宋" w:eastAsia="仿宋"/>
          <w:sz w:val="32"/>
          <w:szCs w:val="32"/>
        </w:rPr>
        <w:t>科研助理：经市级以上科研基地（创新基地）或二级学院党政联席会议确认的学生科研助理身份（签订有正式科研助理协议书或工作合同），工作表现和科研表现突出。</w:t>
      </w:r>
    </w:p>
    <w:p>
      <w:pPr>
        <w:ind w:firstLine="645"/>
        <w:rPr>
          <w:rFonts w:hint="eastAsia" w:ascii="楷体" w:hAnsi="楷体" w:eastAsia="楷体"/>
          <w:b/>
          <w:sz w:val="32"/>
          <w:szCs w:val="32"/>
        </w:rPr>
      </w:pPr>
      <w:r>
        <w:rPr>
          <w:rFonts w:hint="eastAsia" w:ascii="楷体" w:hAnsi="楷体" w:eastAsia="楷体"/>
          <w:b/>
          <w:sz w:val="32"/>
          <w:szCs w:val="32"/>
        </w:rPr>
        <w:t>第三大类：创新创业0~6名</w:t>
      </w:r>
    </w:p>
    <w:p>
      <w:pPr>
        <w:ind w:firstLine="645"/>
        <w:rPr>
          <w:rFonts w:ascii="仿宋" w:hAnsi="仿宋" w:eastAsia="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在创新方面有突出表现</w:t>
      </w:r>
      <w:r>
        <w:rPr>
          <w:rFonts w:hint="eastAsia" w:ascii="仿宋" w:hAnsi="仿宋" w:eastAsia="仿宋"/>
          <w:sz w:val="32"/>
          <w:szCs w:val="32"/>
        </w:rPr>
        <w:t>：</w:t>
      </w:r>
    </w:p>
    <w:p>
      <w:pPr>
        <w:ind w:firstLine="645"/>
        <w:rPr>
          <w:rFonts w:hint="eastAsia" w:ascii="仿宋" w:hAnsi="仿宋" w:eastAsia="仿宋"/>
          <w:sz w:val="32"/>
          <w:szCs w:val="32"/>
        </w:rPr>
      </w:pPr>
      <w:r>
        <w:rPr>
          <w:rFonts w:hint="eastAsia" w:ascii="仿宋" w:hAnsi="仿宋" w:eastAsia="仿宋"/>
          <w:sz w:val="32"/>
          <w:szCs w:val="32"/>
        </w:rPr>
        <w:t>创新要求学生提供能够有效促进学校规划、教学、管理等各方面的方案、建议，且由相关职能部门确认确实产生影响重大的积极效果。</w:t>
      </w:r>
    </w:p>
    <w:p>
      <w:pPr>
        <w:ind w:firstLine="645"/>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2.在创业方面有突出表现：</w:t>
      </w:r>
    </w:p>
    <w:p>
      <w:pPr>
        <w:ind w:firstLine="645"/>
        <w:rPr>
          <w:rFonts w:ascii="仿宋" w:hAnsi="仿宋" w:eastAsia="仿宋"/>
          <w:sz w:val="32"/>
          <w:szCs w:val="32"/>
        </w:rPr>
      </w:pPr>
      <w:r>
        <w:rPr>
          <w:rFonts w:hint="eastAsia" w:ascii="仿宋" w:hAnsi="仿宋" w:eastAsia="仿宋"/>
          <w:sz w:val="32"/>
          <w:szCs w:val="32"/>
        </w:rPr>
        <w:t>创业要求学生获得省级以上竞赛创业奖励同学（团队为前两名），同时按照职能部门竞赛文件，已经享受个人奖金的仅可以享受荣誉，不可以重复享受奖金。</w:t>
      </w:r>
    </w:p>
    <w:p>
      <w:pPr>
        <w:ind w:firstLine="645"/>
        <w:rPr>
          <w:rFonts w:ascii="仿宋" w:hAnsi="仿宋" w:eastAsia="仿宋"/>
          <w:sz w:val="32"/>
          <w:szCs w:val="32"/>
        </w:rPr>
      </w:pPr>
      <w:r>
        <w:rPr>
          <w:rFonts w:hint="eastAsia" w:ascii="仿宋" w:hAnsi="仿宋" w:eastAsia="仿宋"/>
          <w:sz w:val="32"/>
          <w:szCs w:val="32"/>
        </w:rPr>
        <w:t>本大类分为创新和创业两个分类，各取一半。</w:t>
      </w:r>
    </w:p>
    <w:p>
      <w:pPr>
        <w:ind w:firstLine="645"/>
        <w:rPr>
          <w:rFonts w:ascii="楷体" w:hAnsi="楷体" w:eastAsia="楷体"/>
          <w:b/>
          <w:sz w:val="32"/>
          <w:szCs w:val="32"/>
        </w:rPr>
      </w:pPr>
      <w:r>
        <w:rPr>
          <w:rFonts w:hint="eastAsia" w:ascii="楷体" w:hAnsi="楷体" w:eastAsia="楷体"/>
          <w:b/>
          <w:sz w:val="32"/>
          <w:szCs w:val="32"/>
        </w:rPr>
        <w:t>第四大类：个人表现0~</w:t>
      </w:r>
      <w:r>
        <w:rPr>
          <w:rFonts w:ascii="楷体" w:hAnsi="楷体" w:eastAsia="楷体"/>
          <w:b/>
          <w:sz w:val="32"/>
          <w:szCs w:val="32"/>
        </w:rPr>
        <w:t>6</w:t>
      </w:r>
      <w:r>
        <w:rPr>
          <w:rFonts w:hint="eastAsia" w:ascii="楷体" w:hAnsi="楷体" w:eastAsia="楷体"/>
          <w:b/>
          <w:sz w:val="32"/>
          <w:szCs w:val="32"/>
        </w:rPr>
        <w:t>名</w:t>
      </w:r>
    </w:p>
    <w:p>
      <w:pPr>
        <w:ind w:firstLine="640" w:firstLineChars="200"/>
        <w:rPr>
          <w:rFonts w:ascii="仿宋" w:hAnsi="仿宋" w:eastAsia="仿宋"/>
          <w:sz w:val="32"/>
          <w:szCs w:val="32"/>
          <w:highlight w:val="none"/>
        </w:rPr>
      </w:pPr>
      <w:r>
        <w:rPr>
          <w:rFonts w:ascii="仿宋" w:hAnsi="仿宋" w:eastAsia="仿宋"/>
          <w:sz w:val="32"/>
          <w:szCs w:val="32"/>
        </w:rPr>
        <w:t>在助人为乐、见义勇为、舍己救人、敬老爱幼等方面有突出表现，获得相关省、市、县级以上荣誉表彰者。其他在个人综合素质发展</w:t>
      </w:r>
      <w:r>
        <w:rPr>
          <w:rFonts w:hint="eastAsia" w:ascii="仿宋" w:hAnsi="仿宋" w:eastAsia="仿宋"/>
          <w:sz w:val="32"/>
          <w:szCs w:val="32"/>
        </w:rPr>
        <w:t>或</w:t>
      </w:r>
      <w:r>
        <w:rPr>
          <w:rFonts w:ascii="仿宋" w:hAnsi="仿宋" w:eastAsia="仿宋"/>
          <w:sz w:val="32"/>
          <w:szCs w:val="32"/>
        </w:rPr>
        <w:t>学校争先创优等工作中表现突出</w:t>
      </w:r>
      <w:r>
        <w:rPr>
          <w:rFonts w:hint="eastAsia" w:ascii="仿宋" w:hAnsi="仿宋" w:eastAsia="仿宋"/>
          <w:sz w:val="32"/>
          <w:szCs w:val="32"/>
        </w:rPr>
        <w:t>，</w:t>
      </w:r>
      <w:r>
        <w:rPr>
          <w:rFonts w:hint="eastAsia" w:ascii="仿宋" w:hAnsi="仿宋" w:eastAsia="仿宋"/>
          <w:sz w:val="32"/>
          <w:szCs w:val="32"/>
          <w:highlight w:val="none"/>
        </w:rPr>
        <w:t>主要奖励志愿服务、奉献爱心、特长突出等方面的在校学生。</w:t>
      </w:r>
    </w:p>
    <w:p>
      <w:pPr>
        <w:ind w:firstLine="645"/>
        <w:rPr>
          <w:rFonts w:ascii="仿宋" w:hAnsi="仿宋" w:eastAsia="仿宋"/>
          <w:b/>
          <w:sz w:val="32"/>
          <w:szCs w:val="32"/>
        </w:rPr>
      </w:pPr>
      <w:r>
        <w:rPr>
          <w:rFonts w:hint="eastAsia" w:ascii="仿宋" w:hAnsi="仿宋" w:eastAsia="仿宋"/>
          <w:b/>
          <w:sz w:val="32"/>
          <w:szCs w:val="32"/>
        </w:rPr>
        <w:t>以上四大类按照职能部门文件，已经享受个人奖金的，仅可以享受嘉庚奖荣誉，不重复享受奖金。</w:t>
      </w:r>
    </w:p>
    <w:p>
      <w:pPr>
        <w:ind w:firstLine="640" w:firstLineChars="200"/>
        <w:rPr>
          <w:rFonts w:ascii="黑体" w:hAnsi="黑体" w:eastAsia="黑体"/>
          <w:sz w:val="32"/>
          <w:szCs w:val="32"/>
        </w:rPr>
      </w:pPr>
      <w:r>
        <w:rPr>
          <w:rFonts w:hint="eastAsia" w:ascii="黑体" w:hAnsi="黑体" w:eastAsia="黑体"/>
          <w:sz w:val="32"/>
          <w:szCs w:val="32"/>
        </w:rPr>
        <w:t>三、提交材料及时间</w:t>
      </w:r>
    </w:p>
    <w:p>
      <w:pPr>
        <w:ind w:firstLine="640" w:firstLineChars="200"/>
        <w:rPr>
          <w:rFonts w:ascii="仿宋" w:hAnsi="仿宋" w:eastAsia="仿宋"/>
          <w:sz w:val="32"/>
          <w:szCs w:val="32"/>
        </w:rPr>
      </w:pPr>
      <w:r>
        <w:rPr>
          <w:rFonts w:hint="eastAsia" w:ascii="仿宋" w:hAnsi="仿宋" w:eastAsia="仿宋"/>
          <w:sz w:val="32"/>
          <w:szCs w:val="32"/>
        </w:rPr>
        <w:t>申报个人填写《奖学金审批表》，提供相关的佐证材料等，提交材料截止时间2</w:t>
      </w:r>
      <w:r>
        <w:rPr>
          <w:rFonts w:ascii="仿宋" w:hAnsi="仿宋" w:eastAsia="仿宋"/>
          <w:sz w:val="32"/>
          <w:szCs w:val="32"/>
        </w:rPr>
        <w:t>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 xml:space="preserve">日前。 </w:t>
      </w:r>
    </w:p>
    <w:p>
      <w:pPr>
        <w:ind w:firstLine="640" w:firstLineChars="200"/>
        <w:rPr>
          <w:rFonts w:ascii="仿宋" w:hAnsi="仿宋" w:eastAsia="仿宋"/>
          <w:sz w:val="32"/>
          <w:szCs w:val="32"/>
        </w:rPr>
      </w:pPr>
      <w:r>
        <w:rPr>
          <w:rFonts w:ascii="仿宋" w:hAnsi="仿宋" w:eastAsia="仿宋"/>
          <w:sz w:val="32"/>
          <w:szCs w:val="32"/>
        </w:rPr>
        <w:t xml:space="preserve"> </w:t>
      </w:r>
      <w:bookmarkStart w:id="0" w:name="_GoBack"/>
      <w:r>
        <w:rPr>
          <w:rFonts w:hint="eastAsia" w:ascii="仿宋" w:hAnsi="仿宋" w:eastAsia="仿宋"/>
          <w:sz w:val="32"/>
          <w:szCs w:val="32"/>
        </w:rPr>
        <w:t>因嘉庚奖学金评审涉及到全校性且名额上限2</w:t>
      </w:r>
      <w:r>
        <w:rPr>
          <w:rFonts w:ascii="仿宋" w:hAnsi="仿宋" w:eastAsia="仿宋"/>
          <w:sz w:val="32"/>
          <w:szCs w:val="32"/>
        </w:rPr>
        <w:t>0</w:t>
      </w:r>
      <w:bookmarkEnd w:id="0"/>
      <w:r>
        <w:rPr>
          <w:rFonts w:hint="eastAsia" w:ascii="仿宋" w:hAnsi="仿宋" w:eastAsia="仿宋"/>
          <w:sz w:val="32"/>
          <w:szCs w:val="32"/>
        </w:rPr>
        <w:t>名，2</w:t>
      </w:r>
      <w:r>
        <w:rPr>
          <w:rFonts w:ascii="仿宋" w:hAnsi="仿宋" w:eastAsia="仿宋"/>
          <w:sz w:val="32"/>
          <w:szCs w:val="32"/>
        </w:rPr>
        <w:t>02</w:t>
      </w:r>
      <w:r>
        <w:rPr>
          <w:rFonts w:hint="eastAsia" w:ascii="仿宋" w:hAnsi="仿宋" w:eastAsia="仿宋"/>
          <w:sz w:val="32"/>
          <w:szCs w:val="32"/>
          <w:lang w:val="en-US" w:eastAsia="zh-CN"/>
        </w:rPr>
        <w:t>4届</w:t>
      </w:r>
      <w:r>
        <w:rPr>
          <w:rFonts w:hint="eastAsia" w:ascii="仿宋" w:hAnsi="仿宋" w:eastAsia="仿宋"/>
          <w:sz w:val="32"/>
          <w:szCs w:val="32"/>
        </w:rPr>
        <w:t>毕业班同学如有意向申报的可提前填写表格并提交相关材料，评审结果将于下半年与</w:t>
      </w:r>
      <w:r>
        <w:rPr>
          <w:rFonts w:hint="eastAsia" w:ascii="仿宋" w:hAnsi="仿宋" w:eastAsia="仿宋"/>
          <w:color w:val="FF0000"/>
          <w:sz w:val="32"/>
          <w:szCs w:val="32"/>
        </w:rPr>
        <w:t>在校生等级奖学金一起公布行文</w:t>
      </w:r>
      <w:r>
        <w:rPr>
          <w:rFonts w:hint="eastAsia" w:ascii="仿宋" w:hAnsi="仿宋" w:eastAsia="仿宋"/>
          <w:sz w:val="32"/>
          <w:szCs w:val="32"/>
        </w:rPr>
        <w:t>，毕业后不影响评审结果。</w:t>
      </w:r>
    </w:p>
    <w:p>
      <w:pPr>
        <w:ind w:firstLine="645"/>
        <w:rPr>
          <w:rFonts w:ascii="仿宋" w:hAnsi="仿宋" w:eastAsia="仿宋"/>
          <w:sz w:val="32"/>
          <w:szCs w:val="32"/>
        </w:rPr>
      </w:pPr>
      <w:r>
        <w:rPr>
          <w:rFonts w:hint="eastAsia" w:ascii="仿宋" w:hAnsi="仿宋" w:eastAsia="仿宋"/>
          <w:sz w:val="32"/>
          <w:szCs w:val="32"/>
        </w:rPr>
        <w:t>评选由学生个人申报，二级学院初审，并由学生工作部组织各相关职能部门</w:t>
      </w:r>
      <w:r>
        <w:rPr>
          <w:rFonts w:hint="eastAsia" w:ascii="仿宋" w:hAnsi="仿宋" w:eastAsia="仿宋"/>
          <w:sz w:val="32"/>
          <w:szCs w:val="32"/>
          <w:lang w:val="en-US" w:eastAsia="zh-CN"/>
        </w:rPr>
        <w:t>进行评审</w:t>
      </w:r>
      <w:r>
        <w:rPr>
          <w:rFonts w:hint="eastAsia" w:ascii="仿宋" w:hAnsi="仿宋" w:eastAsia="仿宋"/>
          <w:sz w:val="32"/>
          <w:szCs w:val="32"/>
        </w:rPr>
        <w:t>，</w:t>
      </w:r>
      <w:r>
        <w:rPr>
          <w:rFonts w:hint="eastAsia" w:ascii="仿宋" w:hAnsi="仿宋" w:eastAsia="仿宋"/>
          <w:sz w:val="32"/>
          <w:szCs w:val="32"/>
          <w:lang w:val="en-US" w:eastAsia="zh-CN"/>
        </w:rPr>
        <w:t>评审结果</w:t>
      </w:r>
      <w:r>
        <w:rPr>
          <w:rFonts w:hint="eastAsia" w:ascii="仿宋" w:hAnsi="仿宋" w:eastAsia="仿宋"/>
          <w:sz w:val="32"/>
          <w:szCs w:val="32"/>
        </w:rPr>
        <w:t>提交学校奖助学金管理领导小组审批。</w:t>
      </w:r>
    </w:p>
    <w:p>
      <w:pPr>
        <w:ind w:firstLine="645"/>
        <w:rPr>
          <w:rFonts w:ascii="仿宋" w:hAnsi="仿宋" w:eastAsia="仿宋"/>
          <w:sz w:val="32"/>
          <w:szCs w:val="32"/>
        </w:rPr>
      </w:pPr>
      <w:r>
        <w:rPr>
          <w:rFonts w:hint="eastAsia" w:ascii="仿宋" w:hAnsi="仿宋" w:eastAsia="仿宋"/>
          <w:sz w:val="32"/>
          <w:szCs w:val="32"/>
        </w:rPr>
        <w:t>本评选本着宁缺毋滥的原则进行，对确实不符合条件的申报坚决不予以通过。</w:t>
      </w:r>
    </w:p>
    <w:p>
      <w:pPr>
        <w:ind w:firstLine="645"/>
        <w:rPr>
          <w:rFonts w:ascii="仿宋" w:hAnsi="仿宋" w:eastAsia="仿宋"/>
          <w:sz w:val="32"/>
          <w:szCs w:val="32"/>
        </w:rPr>
      </w:pPr>
      <w:r>
        <w:rPr>
          <w:rFonts w:hint="eastAsia" w:ascii="仿宋" w:hAnsi="仿宋" w:eastAsia="仿宋"/>
          <w:sz w:val="32"/>
          <w:szCs w:val="32"/>
        </w:rPr>
        <w:t>未尽事宜，另行通知。</w:t>
      </w:r>
    </w:p>
    <w:p>
      <w:pPr>
        <w:ind w:right="640" w:firstLine="645"/>
        <w:jc w:val="righ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学生工作部</w:t>
      </w:r>
    </w:p>
    <w:p>
      <w:pPr>
        <w:ind w:firstLine="645"/>
        <w:jc w:val="center"/>
        <w:rPr>
          <w:rFonts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2</w:t>
      </w:r>
      <w:r>
        <w:rPr>
          <w:rFonts w:ascii="仿宋" w:hAnsi="仿宋" w:eastAsia="仿宋"/>
          <w:color w:val="auto"/>
          <w:sz w:val="32"/>
          <w:szCs w:val="32"/>
        </w:rPr>
        <w:t>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MmU4NjE4NTcxZmM0MWM1YjRkYWEwNDRhOTljMDkifQ=="/>
  </w:docVars>
  <w:rsids>
    <w:rsidRoot w:val="00502D0D"/>
    <w:rsid w:val="00047F64"/>
    <w:rsid w:val="000B703F"/>
    <w:rsid w:val="00162497"/>
    <w:rsid w:val="0016787F"/>
    <w:rsid w:val="00190E32"/>
    <w:rsid w:val="001E01C4"/>
    <w:rsid w:val="002C000E"/>
    <w:rsid w:val="002C00F4"/>
    <w:rsid w:val="002D5586"/>
    <w:rsid w:val="00366B3B"/>
    <w:rsid w:val="004D019A"/>
    <w:rsid w:val="00502D0D"/>
    <w:rsid w:val="0052080B"/>
    <w:rsid w:val="00654A00"/>
    <w:rsid w:val="00743320"/>
    <w:rsid w:val="0076311C"/>
    <w:rsid w:val="007B42CF"/>
    <w:rsid w:val="007F1877"/>
    <w:rsid w:val="00821946"/>
    <w:rsid w:val="00831A8D"/>
    <w:rsid w:val="00837C00"/>
    <w:rsid w:val="00863B7F"/>
    <w:rsid w:val="00A12741"/>
    <w:rsid w:val="00B77482"/>
    <w:rsid w:val="00C125A2"/>
    <w:rsid w:val="00C13516"/>
    <w:rsid w:val="00C915BC"/>
    <w:rsid w:val="00CC21AD"/>
    <w:rsid w:val="00D8749E"/>
    <w:rsid w:val="00DB11DE"/>
    <w:rsid w:val="00E06F27"/>
    <w:rsid w:val="00F2219C"/>
    <w:rsid w:val="00F31D0B"/>
    <w:rsid w:val="00F4540A"/>
    <w:rsid w:val="00F91538"/>
    <w:rsid w:val="00FE7253"/>
    <w:rsid w:val="00FF064B"/>
    <w:rsid w:val="00FF1BCE"/>
    <w:rsid w:val="01654152"/>
    <w:rsid w:val="113374F6"/>
    <w:rsid w:val="153F301F"/>
    <w:rsid w:val="17A849DB"/>
    <w:rsid w:val="193407DE"/>
    <w:rsid w:val="1D643210"/>
    <w:rsid w:val="23971A56"/>
    <w:rsid w:val="29751D6B"/>
    <w:rsid w:val="29F465F4"/>
    <w:rsid w:val="33477FF9"/>
    <w:rsid w:val="44AA1F11"/>
    <w:rsid w:val="476C0A82"/>
    <w:rsid w:val="4B8C1BDC"/>
    <w:rsid w:val="4CB16E35"/>
    <w:rsid w:val="50DD28EE"/>
    <w:rsid w:val="57534930"/>
    <w:rsid w:val="78243B48"/>
    <w:rsid w:val="7D716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Words>
  <Characters>1129</Characters>
  <Lines>9</Lines>
  <Paragraphs>2</Paragraphs>
  <TotalTime>29</TotalTime>
  <ScaleCrop>false</ScaleCrop>
  <LinksUpToDate>false</LinksUpToDate>
  <CharactersWithSpaces>1324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2022-11-20T04:29:00Z</dcterms:created>
  <dc:creator>dell</dc:creator>
  <cp:lastModifiedBy>May起司</cp:lastModifiedBy>
  <dcterms:modified xsi:type="dcterms:W3CDTF">2024-04-03T02:11:24Z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3596CB63D4374340943524590C7DB6BB_12</vt:lpwstr>
  </property>
</Properties>
</file>